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7FC0">
      <w:pPr>
        <w:tabs>
          <w:tab w:val="left" w:pos="220"/>
          <w:tab w:val="center" w:pos="7758"/>
        </w:tabs>
        <w:adjustRightInd w:val="0"/>
        <w:snapToGrid w:val="0"/>
        <w:jc w:val="lef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附件</w:t>
      </w:r>
      <w:r>
        <w:rPr>
          <w:rFonts w:ascii="仿宋_GB2312" w:hAnsi="宋体" w:eastAsia="仿宋_GB2312" w:cs="Times New Roman"/>
          <w:sz w:val="28"/>
          <w:szCs w:val="28"/>
          <w:lang w:eastAsia="zh-Hans"/>
        </w:rPr>
        <w:t>4</w:t>
      </w:r>
      <w:r>
        <w:rPr>
          <w:rFonts w:hint="eastAsia" w:ascii="仿宋_GB2312" w:hAnsi="宋体" w:eastAsia="仿宋_GB2312" w:cs="Times New Roman"/>
          <w:sz w:val="28"/>
          <w:szCs w:val="28"/>
          <w:lang w:eastAsia="zh-Hans"/>
        </w:rPr>
        <w:t>:</w:t>
      </w:r>
      <w:r>
        <w:rPr>
          <w:rFonts w:hint="eastAsia" w:ascii="仿宋_GB2312" w:hAnsi="宋体" w:eastAsia="仿宋_GB2312" w:cs="Times New Roman"/>
          <w:sz w:val="28"/>
          <w:szCs w:val="28"/>
        </w:rPr>
        <w:tab/>
      </w:r>
    </w:p>
    <w:p w14:paraId="515AD7AE">
      <w:pPr>
        <w:tabs>
          <w:tab w:val="left" w:pos="220"/>
          <w:tab w:val="center" w:pos="7758"/>
        </w:tabs>
        <w:adjustRightInd w:val="0"/>
        <w:snapToGrid w:val="0"/>
        <w:jc w:val="center"/>
        <w:rPr>
          <w:rFonts w:ascii="Calibri" w:hAnsi="Calibri" w:eastAsia="方正小标宋简体" w:cs="Times New Roma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2024年度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团委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工作考核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Hans"/>
        </w:rPr>
        <w:t>细则表</w:t>
      </w:r>
    </w:p>
    <w:tbl>
      <w:tblPr>
        <w:tblStyle w:val="3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06"/>
        <w:gridCol w:w="10875"/>
        <w:gridCol w:w="3200"/>
      </w:tblGrid>
      <w:tr w14:paraId="1C6D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2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AB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深化团学组织改革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规范校院两级团学代会的召开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填写金秋群在线表格，已发</w:t>
            </w:r>
          </w:p>
        </w:tc>
      </w:tr>
      <w:tr w14:paraId="0EAC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（32分）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思想引领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1.开展全院性组织化学习、校园文化活动，每学期不少于2次，每少1次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扣0.5分。(满分2分)</w:t>
            </w:r>
            <w:bookmarkStart w:id="0" w:name="_GoBack"/>
            <w:bookmarkEnd w:id="0"/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6DBE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8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2.按要求落实班团会学习，以学院为单位排序，1-4名得2分、5-8名得1.5分、其余得1分；若抽查班级数量30%不合格，此项得0分。(满分2分)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2040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E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3.“青年大学习”今年统一满分。(满分2分)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292F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4.百生讲坛活动基层团支部覆盖面达100%得2分，每降低一个百分点减0.5分，扣完为止。(满分2分)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百生讲坛已发</w:t>
            </w:r>
          </w:p>
        </w:tc>
      </w:tr>
      <w:tr w14:paraId="2E0C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5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5.抓好典型选树，发挥青年党员、团代表、团干部、“青马工程”学员、各类青年典型，开展互动式、面对面宣讲。每学年至少一次。（2分）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青年典型宣讲活动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u w:val="none"/>
                <w:lang w:val="en-US" w:eastAsia="zh-CN" w:bidi="ar"/>
              </w:rPr>
              <w:t>至少提交一项证明材料</w:t>
            </w:r>
          </w:p>
        </w:tc>
      </w:tr>
      <w:tr w14:paraId="6CB3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3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基层团组织建设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1.智慧团建专题学习录入率、学社衔接率、团员年度教育评议及审核、“推优”记载、“三会两制一课”录入率在规定时间内达100%则得5分，少一项扣1分，扣完为止。(满分5分)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16AC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5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2.团学骨干教育培训：院级团校和青马班培训。培训资料完整规范得2分，未开展一项培训扣1分。(满分2分)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院级团校、青马班均需开展，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u w:val="none"/>
                <w:lang w:val="en-US" w:eastAsia="zh-CN" w:bidi="ar"/>
              </w:rPr>
              <w:t>培训资料、台账、新闻等材料</w:t>
            </w:r>
          </w:p>
        </w:tc>
      </w:tr>
      <w:tr w14:paraId="78AE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1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3.认真落实“两个一般，两个主要”要求，健全完善共青团推优入党机制;规范团员教育评议、团内仪式教育、实践教育，不断提升团员先进性(视完成情况评分，满分2分)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3CC3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4.青协分会考核、学生分会考核结果，标兵得1分，优秀得0.8分，其他得0.4分，该项分值可累加。（满分2分)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4EBC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5.开展“我为同学办实事”。建立落实办实事清单，以切实举措服务大学生在学业帮扶、人际沟通、兴趣培养、心理健康方面的各类需求。工作开展情况台账规范清晰、切实帮助解决学生问题，得1分。(满分1分)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提交问题清单和解决情况</w:t>
            </w:r>
          </w:p>
        </w:tc>
      </w:tr>
    </w:tbl>
    <w:p w14:paraId="19D90316">
      <w:pPr>
        <w:tabs>
          <w:tab w:val="left" w:pos="840"/>
        </w:tabs>
      </w:pPr>
    </w:p>
    <w:tbl>
      <w:tblPr>
        <w:tblStyle w:val="3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06"/>
        <w:gridCol w:w="10875"/>
        <w:gridCol w:w="3200"/>
      </w:tblGrid>
      <w:tr w14:paraId="6FFF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素质发展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打造以“挑战杯”“创青春”等为载体的创新创业育人体系(4分):(1)基础申报率，参与以上创新创业活动的学生人数占学院学生总人数的百分比，1-4名2分，5-8名1分，或参与以上创新创业活动学生人数达到学院学生总人数的10%得2分。(满分2分)(2)有效申报率(校级及以上获奖、立项项目)达千分之三得2分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0142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打造以红色筑梦之旅、中国青年志愿服务公益创业赛、志愿服务项目大赛、社区计划等为载体的实践育人体系，各学院组织动员不少于30%的团支部踊跃参与:基础申报率以上，参与以上活动的学生人数占学院学生总人数的百分比，1-4名3分，5-8名2分。(满分2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填写在线表格，已发</w:t>
            </w:r>
          </w:p>
        </w:tc>
      </w:tr>
      <w:tr w14:paraId="42BA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5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3.组织开展“三下乡”“返家乡”“实习实训”社会实践(视完成情况评分，满分3分)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团委据实认定赋分</w:t>
            </w:r>
          </w:p>
        </w:tc>
      </w:tr>
      <w:tr w14:paraId="4DC3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重视党建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带团建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工作研究（4分）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A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分党委每学期至少各召开1次专题会议研究团的工作和建设、听取1次共青团开展学生思想政治工作汇报。每少一次扣1分。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待党委组织部最终考核方案确定，暂不提交材料</w:t>
            </w:r>
          </w:p>
        </w:tc>
      </w:tr>
      <w:tr w14:paraId="32CA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E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建立党建带团建工作机制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7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党委联系学生团支部或学生组织、学生社团、学生团队（社会实践、志愿服务、科研项目）不少于班子成员数，且参与活动一年不少于5次，少一次扣0.5分，扣完为止。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F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加强党建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带团建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理论武装（2分）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C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分党委领导班子成员带头上讲台，为团学青年开展理论宣讲，每学期不少于1次，少一次扣1分。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D8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创建党建带团建活动品牌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0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创新党建带团建活动载体，形成有影响力的党团共建活动品牌。未建立的扣2分。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F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3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创先争优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获得省厅级以上(表彰主体为上级主管部门及组成部门落款)含学生工作课题项目、学生集体、学生个人获奖(不含奖助学金)及学工处、团委组织的年度重点工作表彰/专职辅导员数，为该项得分。其中，取得省厅级以上突破性成绩，辅导员素质能力大赛、百生讲坛、挑战杯等重点活动获省级二等及以上荣誉，不除以辅导员人数，直接赋分。(计分办法:国家级特等、一、二、三等 3、2.5、2、1.5分，省级特等、一、二、三等 2.5、2、1.5、1分，校级特等、一、二、三等 2、1.5、1、0.5分;不评等次奖励，国家级奖励2分、省部级1分、校级 0.5分。跨院组队学生团队获奖按照奖励分数=奖励总分*(学院实际参加人数/获奖团队总人数)记入。奖励项目中，同类奖项分数就高不就低，不重复加分。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填写《XX学院2024年获奖情况表》，提供证书扫描件等材料</w:t>
            </w:r>
          </w:p>
        </w:tc>
      </w:tr>
      <w:tr w14:paraId="44F6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A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4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2.取得有关学生工作的升大指标历史最好水平直接加6分，取得突破加7.5分</w:t>
            </w: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6A2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总结考核</w:t>
            </w:r>
          </w:p>
        </w:tc>
        <w:tc>
          <w:tcPr>
            <w:tcW w:w="14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各学院团委书记总结梳理年度共青团工作情况，年度工作情况、工作亮点，形成简明扼要、篇幅不超过3000字的共青团年度工作总结材料。并将总结材料结合图片内容在“未湖之声”微信公众号进行推送。</w:t>
            </w:r>
          </w:p>
        </w:tc>
      </w:tr>
      <w:tr w14:paraId="3541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一票否决项目</w:t>
            </w:r>
          </w:p>
        </w:tc>
        <w:tc>
          <w:tcPr>
            <w:tcW w:w="14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1.年度团费未足额上缴。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2.在工作中推诿拖拉造成严重不良后果的。</w:t>
            </w:r>
          </w:p>
        </w:tc>
      </w:tr>
      <w:tr w14:paraId="453E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  </w:t>
            </w:r>
            <w:r>
              <w:rPr>
                <w:rStyle w:val="8"/>
                <w:rFonts w:hAnsi="宋体"/>
                <w:lang w:val="en-US" w:eastAsia="zh-CN" w:bidi="ar"/>
              </w:rPr>
              <w:t xml:space="preserve"> 注：学院团委工作考核最终得分组成：材料得分×70%+学院团委工作展示×30%</w:t>
            </w:r>
          </w:p>
        </w:tc>
      </w:tr>
    </w:tbl>
    <w:p w14:paraId="649AAEBB">
      <w:pPr>
        <w:tabs>
          <w:tab w:val="left" w:pos="840"/>
        </w:tabs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sectPr>
      <w:pgSz w:w="16838" w:h="11906" w:orient="landscape"/>
      <w:pgMar w:top="323" w:right="720" w:bottom="32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26DDB0-2613-4E61-A182-948074BCC5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4B98890-0D4C-4D03-86A3-8C517C7268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616718-CA70-4432-B4B2-6BDE7089EB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1B15B25-4A3D-4A99-AA3B-C4F31CF2C5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57D18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0D57D18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2025-02-26T04:43:00Z</dcterms:created>
  <dc:creator>是月亮ye</dc:creator>
  <cp:lastModifiedBy>是月亮ye</cp:lastModifiedBy>
  <dcterms:modified xsi:type="dcterms:W3CDTF">2025-02-26T04:45:52Z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39AC805FAF824CF4A201B914F9615DEC_11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